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risorse finanziarie per il conseguimento degli obiettivi prefissati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risorse finanziarie per il conseguimento degli obiettivi prefissati.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