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140.000 euro e inferiore alle soglie di cui all'articolo 14, D.Lgs. 36/2023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140.000 euro e inferiore alle soglie di cui all'articolo 14, D.Lgs. 36/2023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